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83F2" w14:textId="77777777" w:rsidR="000B1143" w:rsidRPr="008746EC" w:rsidRDefault="000B1143" w:rsidP="000B1143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8746EC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7A95C0A" w14:textId="39480D27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8746EC">
        <w:rPr>
          <w:rFonts w:ascii="Arial" w:hAnsi="Arial" w:cs="Arial"/>
          <w:bCs/>
          <w:sz w:val="24"/>
          <w:szCs w:val="24"/>
        </w:rPr>
        <w:t xml:space="preserve">      </w:t>
      </w:r>
      <w:r w:rsidR="001E37B8" w:rsidRPr="008746EC">
        <w:rPr>
          <w:rFonts w:ascii="Arial" w:hAnsi="Arial" w:cs="Arial"/>
          <w:bCs/>
          <w:sz w:val="24"/>
          <w:szCs w:val="24"/>
        </w:rPr>
        <w:t>II</w:t>
      </w:r>
      <w:r w:rsidRPr="008746EC">
        <w:rPr>
          <w:rFonts w:ascii="Arial" w:hAnsi="Arial" w:cs="Arial"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</w:t>
      </w:r>
      <w:r w:rsidR="004B1F7E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sz w:val="24"/>
          <w:szCs w:val="24"/>
        </w:rPr>
        <w:t>TIME</w:t>
      </w:r>
      <w:r w:rsidR="004B1F7E">
        <w:rPr>
          <w:rFonts w:ascii="Arial" w:hAnsi="Arial" w:cs="Arial"/>
          <w:sz w:val="24"/>
          <w:szCs w:val="24"/>
        </w:rPr>
        <w:t>:</w:t>
      </w:r>
      <w:r w:rsidRPr="000B11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1DCF4F70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</w:t>
      </w:r>
      <w:r w:rsidR="00642A91" w:rsidRPr="008746EC">
        <w:rPr>
          <w:bCs/>
          <w:color w:val="000000"/>
          <w:w w:val="112"/>
          <w:sz w:val="24"/>
          <w:szCs w:val="24"/>
        </w:rPr>
        <w:t>ELL-Ma2-3201(</w:t>
      </w:r>
      <w:r w:rsidR="004B1F7E" w:rsidRPr="008746EC">
        <w:rPr>
          <w:bCs/>
          <w:color w:val="000000"/>
          <w:w w:val="112"/>
          <w:sz w:val="24"/>
          <w:szCs w:val="24"/>
        </w:rPr>
        <w:t>4)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="004B1F7E" w:rsidRPr="004B1F7E">
        <w:rPr>
          <w:b/>
          <w:bCs/>
          <w:color w:val="000000"/>
          <w:w w:val="112"/>
        </w:rPr>
        <w:t>AN INTRODUCTION TO RESTORATION LITERATURE</w:t>
      </w:r>
      <w:r w:rsidR="004B1F7E">
        <w:rPr>
          <w:b/>
          <w:bCs/>
          <w:color w:val="000000"/>
          <w:w w:val="112"/>
          <w:sz w:val="24"/>
          <w:szCs w:val="24"/>
        </w:rPr>
        <w:t xml:space="preserve"> </w:t>
      </w:r>
      <w:r w:rsidRPr="000B1143">
        <w:rPr>
          <w:b/>
          <w:bCs/>
          <w:color w:val="000000"/>
          <w:w w:val="112"/>
          <w:sz w:val="24"/>
          <w:szCs w:val="24"/>
        </w:rPr>
        <w:t>(</w:t>
      </w:r>
      <w:r>
        <w:rPr>
          <w:b/>
          <w:bCs/>
          <w:color w:val="000000"/>
          <w:w w:val="112"/>
          <w:sz w:val="24"/>
          <w:szCs w:val="24"/>
        </w:rPr>
        <w:t>1</w:t>
      </w:r>
      <w:r w:rsidRPr="000B1143">
        <w:rPr>
          <w:b/>
          <w:bCs/>
          <w:color w:val="000000"/>
          <w:w w:val="112"/>
          <w:sz w:val="24"/>
          <w:szCs w:val="24"/>
        </w:rPr>
        <w:t>6</w:t>
      </w:r>
      <w:r w:rsidR="000D4F0B">
        <w:rPr>
          <w:b/>
          <w:bCs/>
          <w:color w:val="000000"/>
          <w:w w:val="112"/>
          <w:sz w:val="24"/>
          <w:szCs w:val="24"/>
        </w:rPr>
        <w:t>60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>
        <w:rPr>
          <w:b/>
          <w:bCs/>
          <w:color w:val="000000"/>
          <w:w w:val="112"/>
          <w:sz w:val="24"/>
          <w:szCs w:val="24"/>
        </w:rPr>
        <w:t>6</w:t>
      </w:r>
      <w:r w:rsidR="000D4F0B">
        <w:rPr>
          <w:b/>
          <w:bCs/>
          <w:color w:val="000000"/>
          <w:w w:val="112"/>
          <w:sz w:val="24"/>
          <w:szCs w:val="24"/>
        </w:rPr>
        <w:t>89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 </w:t>
      </w:r>
    </w:p>
    <w:p w14:paraId="78A3C600" w14:textId="5A26FF1E" w:rsidR="001E37B8" w:rsidRDefault="004B1F7E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0B1143" w:rsidRPr="000B1143">
        <w:rPr>
          <w:rFonts w:ascii="Arial" w:hAnsi="Arial" w:cs="Arial"/>
        </w:rPr>
        <w:t>w.e.f:202</w:t>
      </w:r>
      <w:r>
        <w:rPr>
          <w:rFonts w:ascii="Arial" w:hAnsi="Arial" w:cs="Arial"/>
        </w:rPr>
        <w:t>4</w:t>
      </w:r>
      <w:r w:rsidR="000B1143" w:rsidRPr="000B11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0B1143" w:rsidRPr="000B114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5_</w:t>
      </w:r>
      <w:proofErr w:type="gramStart"/>
      <w:r>
        <w:rPr>
          <w:rFonts w:ascii="Arial" w:hAnsi="Arial" w:cs="Arial"/>
        </w:rPr>
        <w:t>2</w:t>
      </w:r>
      <w:r w:rsidR="00D433D8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="00D433D8">
        <w:rPr>
          <w:rFonts w:ascii="Arial" w:hAnsi="Arial" w:cs="Arial"/>
        </w:rPr>
        <w:t>K</w:t>
      </w:r>
      <w:r>
        <w:rPr>
          <w:rFonts w:ascii="Arial" w:hAnsi="Arial" w:cs="Arial"/>
        </w:rPr>
        <w:t>(</w:t>
      </w:r>
      <w:proofErr w:type="gramEnd"/>
      <w:r w:rsidR="000B1143" w:rsidRPr="000B1143">
        <w:rPr>
          <w:rFonts w:ascii="Arial" w:hAnsi="Arial" w:cs="Arial"/>
        </w:rPr>
        <w:t>Admitted ba</w:t>
      </w:r>
      <w:bookmarkStart w:id="1" w:name="_GoBack"/>
      <w:bookmarkEnd w:id="1"/>
      <w:r w:rsidR="000B1143" w:rsidRPr="000B1143">
        <w:rPr>
          <w:rFonts w:ascii="Arial" w:hAnsi="Arial" w:cs="Arial"/>
        </w:rPr>
        <w:t>tch</w:t>
      </w:r>
      <w:r>
        <w:rPr>
          <w:rFonts w:ascii="Arial" w:hAnsi="Arial" w:cs="Arial"/>
        </w:rPr>
        <w:t>)</w:t>
      </w:r>
      <w:r w:rsidR="000B1143" w:rsidRPr="000B1143">
        <w:rPr>
          <w:rFonts w:ascii="Arial" w:hAnsi="Arial" w:cs="Arial"/>
          <w:sz w:val="24"/>
          <w:szCs w:val="24"/>
        </w:rPr>
        <w:t xml:space="preserve">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SYLLABUS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r w:rsidRPr="000B11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746EC">
        <w:rPr>
          <w:rFonts w:ascii="Arial" w:hAnsi="Arial" w:cs="Arial"/>
          <w:bCs/>
          <w:color w:val="000000"/>
          <w:w w:val="112"/>
          <w:sz w:val="24"/>
          <w:szCs w:val="24"/>
        </w:rPr>
        <w:t>MA</w:t>
      </w:r>
      <w:r w:rsidRPr="008746EC">
        <w:rPr>
          <w:rFonts w:ascii="Arial" w:hAnsi="Arial" w:cs="Arial"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0B1143">
        <w:rPr>
          <w:rFonts w:ascii="Arial" w:hAnsi="Arial" w:cs="Arial"/>
        </w:rPr>
        <w:t>100</w:t>
      </w:r>
    </w:p>
    <w:p w14:paraId="7685BAD7" w14:textId="2CFBA09E" w:rsidR="000B1143" w:rsidRPr="001E37B8" w:rsidRDefault="004B1F7E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0CCD2A2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</w:t>
      </w:r>
      <w:r w:rsidR="004B1F7E">
        <w:rPr>
          <w:rFonts w:ascii="Arial" w:hAnsi="Arial" w:cs="Arial"/>
          <w:sz w:val="24"/>
          <w:szCs w:val="24"/>
        </w:rPr>
        <w:t xml:space="preserve">     </w:t>
      </w:r>
      <w:r w:rsidRPr="000B1143">
        <w:rPr>
          <w:rFonts w:ascii="Arial" w:hAnsi="Arial" w:cs="Arial"/>
          <w:sz w:val="24"/>
          <w:szCs w:val="24"/>
        </w:rPr>
        <w:t xml:space="preserve">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777777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55ECFE57" w14:textId="47ACA3C8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</w:t>
      </w:r>
      <w:r w:rsidR="005F468C" w:rsidRPr="000B1143">
        <w:rPr>
          <w:rFonts w:ascii="Arial" w:hAnsi="Arial" w:cs="Arial"/>
          <w:sz w:val="24"/>
          <w:szCs w:val="24"/>
        </w:rPr>
        <w:t xml:space="preserve">the </w:t>
      </w:r>
      <w:r w:rsidR="005F468C">
        <w:rPr>
          <w:rFonts w:ascii="Arial" w:hAnsi="Arial" w:cs="Arial"/>
          <w:sz w:val="24"/>
          <w:szCs w:val="24"/>
        </w:rPr>
        <w:t>Restoration</w:t>
      </w:r>
      <w:r>
        <w:rPr>
          <w:rFonts w:ascii="Arial" w:hAnsi="Arial" w:cs="Arial"/>
          <w:sz w:val="24"/>
          <w:szCs w:val="24"/>
        </w:rPr>
        <w:t xml:space="preserve">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1535234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0D4F0B" w:rsidRPr="000B1143">
        <w:rPr>
          <w:rFonts w:ascii="Arial" w:hAnsi="Arial" w:cs="Arial"/>
          <w:sz w:val="24"/>
          <w:szCs w:val="24"/>
        </w:rPr>
        <w:t xml:space="preserve">of </w:t>
      </w:r>
      <w:r w:rsidR="000D4F0B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3E10BEC8" w:rsidR="000B1143" w:rsidRPr="000B1143" w:rsidRDefault="004B1F7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0B1143">
        <w:rPr>
          <w:rFonts w:ascii="Arial" w:hAnsi="Arial" w:cs="Arial"/>
          <w:b/>
          <w:sz w:val="24"/>
          <w:szCs w:val="24"/>
        </w:rPr>
        <w:t>COURSE OUTCOMES</w:t>
      </w:r>
      <w:r w:rsidR="000B1143" w:rsidRPr="000B1143">
        <w:rPr>
          <w:rFonts w:ascii="Arial" w:hAnsi="Arial" w:cs="Arial"/>
          <w:b/>
          <w:sz w:val="24"/>
          <w:szCs w:val="24"/>
        </w:rPr>
        <w:t>:</w:t>
      </w:r>
    </w:p>
    <w:p w14:paraId="03CE5578" w14:textId="4F79D9B4" w:rsidR="000B1143" w:rsidRPr="000D4F0B" w:rsidRDefault="000B1143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0D4F0B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0D4F0B" w:rsidRPr="000D4F0B">
        <w:rPr>
          <w:rFonts w:ascii="Arial" w:hAnsi="Arial" w:cs="Arial"/>
          <w:bCs/>
          <w:sz w:val="24"/>
          <w:szCs w:val="24"/>
        </w:rPr>
        <w:t>will</w:t>
      </w:r>
      <w:r w:rsidRPr="000D4F0B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54BBEB72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of </w:t>
      </w:r>
      <w:r w:rsidR="000D4F0B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0D4F0B">
        <w:rPr>
          <w:rFonts w:ascii="Arial" w:hAnsi="Arial" w:cs="Arial"/>
          <w:bCs/>
          <w:sz w:val="24"/>
          <w:szCs w:val="24"/>
        </w:rPr>
        <w:t>Restoration</w:t>
      </w:r>
      <w:r w:rsidRPr="0033623C">
        <w:rPr>
          <w:rFonts w:ascii="Arial" w:hAnsi="Arial" w:cs="Arial"/>
          <w:bCs/>
          <w:sz w:val="24"/>
          <w:szCs w:val="24"/>
        </w:rPr>
        <w:t xml:space="preserve"> Period and review aspects of different literary genres, forms, and terms</w:t>
      </w:r>
    </w:p>
    <w:p w14:paraId="3F63FA8C" w14:textId="68F96D4E" w:rsidR="000B1143" w:rsidRPr="0033623C" w:rsidRDefault="000D4F0B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Recognize </w:t>
      </w:r>
      <w:r w:rsidRPr="0033623C">
        <w:rPr>
          <w:rFonts w:ascii="Arial" w:hAnsi="Arial" w:cs="Arial"/>
          <w:bCs/>
          <w:sz w:val="24"/>
          <w:szCs w:val="24"/>
        </w:rPr>
        <w:t>the</w:t>
      </w:r>
      <w:r>
        <w:rPr>
          <w:rFonts w:ascii="Arial" w:hAnsi="Arial" w:cs="Arial"/>
          <w:bCs/>
          <w:sz w:val="24"/>
          <w:szCs w:val="24"/>
        </w:rPr>
        <w:t xml:space="preserve"> aspects of </w:t>
      </w:r>
      <w:r w:rsidRPr="0033623C">
        <w:rPr>
          <w:rFonts w:ascii="Arial" w:hAnsi="Arial" w:cs="Arial"/>
          <w:bCs/>
          <w:sz w:val="24"/>
          <w:szCs w:val="24"/>
        </w:rPr>
        <w:t>poetry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  </w:t>
      </w:r>
    </w:p>
    <w:p w14:paraId="798FB05C" w14:textId="11D183B5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</w:t>
      </w:r>
      <w:r w:rsidR="000D4F0B">
        <w:rPr>
          <w:rFonts w:ascii="Arial" w:hAnsi="Arial" w:cs="Arial"/>
          <w:bCs/>
          <w:sz w:val="24"/>
          <w:szCs w:val="24"/>
        </w:rPr>
        <w:t>pply</w:t>
      </w:r>
      <w:r w:rsidRPr="0033623C">
        <w:rPr>
          <w:rFonts w:ascii="Arial" w:hAnsi="Arial" w:cs="Arial"/>
          <w:bCs/>
          <w:sz w:val="24"/>
          <w:szCs w:val="24"/>
        </w:rPr>
        <w:t xml:space="preserve"> the features of prose in the prescribed texts</w:t>
      </w:r>
    </w:p>
    <w:p w14:paraId="186DC205" w14:textId="76982FE1" w:rsidR="000B1143" w:rsidRPr="0033623C" w:rsidRDefault="000D4F0B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Analyze </w:t>
      </w:r>
      <w:r w:rsidR="00DD7382" w:rsidRPr="0033623C">
        <w:rPr>
          <w:rFonts w:ascii="Arial" w:hAnsi="Arial" w:cs="Arial"/>
          <w:bCs/>
          <w:sz w:val="24"/>
          <w:szCs w:val="24"/>
        </w:rPr>
        <w:t xml:space="preserve"> the vari</w:t>
      </w:r>
      <w:r>
        <w:rPr>
          <w:rFonts w:ascii="Arial" w:hAnsi="Arial" w:cs="Arial"/>
          <w:bCs/>
          <w:sz w:val="24"/>
          <w:szCs w:val="24"/>
        </w:rPr>
        <w:t xml:space="preserve">ous satirical  </w:t>
      </w:r>
      <w:r w:rsidR="00DD7382" w:rsidRPr="0033623C">
        <w:rPr>
          <w:rFonts w:ascii="Arial" w:hAnsi="Arial" w:cs="Arial"/>
          <w:bCs/>
          <w:sz w:val="24"/>
          <w:szCs w:val="24"/>
        </w:rPr>
        <w:t>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3379F1F" w14:textId="4894E497" w:rsidR="000B1143" w:rsidRPr="000B1143" w:rsidRDefault="004B1F7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1C019E">
        <w:rPr>
          <w:rFonts w:ascii="Arial" w:hAnsi="Arial" w:cs="Arial"/>
          <w:b/>
          <w:sz w:val="24"/>
          <w:szCs w:val="24"/>
        </w:rPr>
        <w:t xml:space="preserve">   </w:t>
      </w:r>
      <w:r w:rsidRPr="000B1143">
        <w:rPr>
          <w:rFonts w:ascii="Arial" w:hAnsi="Arial" w:cs="Arial"/>
          <w:b/>
          <w:sz w:val="24"/>
          <w:szCs w:val="24"/>
        </w:rPr>
        <w:t>UNIT – I</w:t>
      </w:r>
      <w:r>
        <w:rPr>
          <w:rFonts w:ascii="Arial" w:hAnsi="Arial" w:cs="Arial"/>
          <w:b/>
          <w:sz w:val="24"/>
          <w:szCs w:val="24"/>
        </w:rPr>
        <w:t>:</w:t>
      </w:r>
    </w:p>
    <w:p w14:paraId="67E05C53" w14:textId="41112C73" w:rsidR="000B1143" w:rsidRPr="0095547C" w:rsidRDefault="001C019E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0B1143" w:rsidRPr="000B1143">
        <w:rPr>
          <w:rFonts w:ascii="Arial" w:hAnsi="Arial" w:cs="Arial"/>
          <w:b/>
          <w:sz w:val="24"/>
          <w:szCs w:val="24"/>
        </w:rPr>
        <w:t>History of English Literature</w:t>
      </w:r>
      <w:r w:rsidR="004B1F7E">
        <w:rPr>
          <w:rFonts w:ascii="Arial" w:hAnsi="Arial" w:cs="Arial"/>
          <w:b/>
          <w:sz w:val="24"/>
          <w:szCs w:val="24"/>
        </w:rPr>
        <w:tab/>
      </w:r>
      <w:r w:rsidR="000B1143" w:rsidRPr="000B1143">
        <w:rPr>
          <w:rFonts w:ascii="Arial" w:hAnsi="Arial" w:cs="Arial"/>
          <w:b/>
          <w:sz w:val="24"/>
          <w:szCs w:val="24"/>
        </w:rPr>
        <w:t xml:space="preserve">:   </w:t>
      </w:r>
      <w:r w:rsidR="004B1F7E">
        <w:rPr>
          <w:rFonts w:ascii="Arial" w:hAnsi="Arial" w:cs="Arial"/>
          <w:b/>
          <w:sz w:val="24"/>
          <w:szCs w:val="24"/>
        </w:rPr>
        <w:t xml:space="preserve"> 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17C6F644" w14:textId="76F92C8B" w:rsidR="00C07DF2" w:rsidRDefault="001C019E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95547C" w:rsidRPr="0095547C">
        <w:rPr>
          <w:rFonts w:ascii="Arial" w:hAnsi="Arial" w:cs="Arial"/>
          <w:b/>
          <w:sz w:val="24"/>
          <w:szCs w:val="24"/>
        </w:rPr>
        <w:t>Literary Genres---</w:t>
      </w:r>
      <w:r w:rsidR="0095547C" w:rsidRPr="0095547C">
        <w:rPr>
          <w:rFonts w:ascii="Arial" w:hAnsi="Arial" w:cs="Arial"/>
          <w:b/>
          <w:sz w:val="24"/>
          <w:szCs w:val="24"/>
        </w:rPr>
        <w:tab/>
      </w:r>
      <w:r w:rsidR="0095547C">
        <w:rPr>
          <w:rFonts w:ascii="Arial" w:hAnsi="Arial" w:cs="Arial"/>
          <w:b/>
          <w:sz w:val="24"/>
          <w:szCs w:val="24"/>
        </w:rPr>
        <w:t xml:space="preserve">                     </w:t>
      </w:r>
      <w:r w:rsidR="004B1F7E">
        <w:rPr>
          <w:rFonts w:ascii="Arial" w:hAnsi="Arial" w:cs="Arial"/>
          <w:b/>
          <w:sz w:val="24"/>
          <w:szCs w:val="24"/>
        </w:rPr>
        <w:t xml:space="preserve">     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Farce, Comedy of Manners, Satire, Gentle </w:t>
      </w:r>
    </w:p>
    <w:p w14:paraId="2C7F841A" w14:textId="31806A21" w:rsidR="0095547C" w:rsidRPr="000B1143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</w:t>
      </w:r>
      <w:r w:rsidR="004B1F7E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B1F7E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Comedy, Periodical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essay, Memoir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0338B370" w:rsidR="000B1143" w:rsidRPr="000B1143" w:rsidRDefault="004B1F7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1C019E">
        <w:rPr>
          <w:rFonts w:ascii="Arial" w:hAnsi="Arial" w:cs="Arial"/>
          <w:b/>
          <w:sz w:val="24"/>
          <w:szCs w:val="24"/>
        </w:rPr>
        <w:t xml:space="preserve">   </w:t>
      </w: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0B1143"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</w:rPr>
        <w:t>:</w:t>
      </w:r>
    </w:p>
    <w:p w14:paraId="552CD86E" w14:textId="4E2B5BC4" w:rsidR="00C07DF2" w:rsidRPr="00C07DF2" w:rsidRDefault="001C019E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Poetry (Detailed Study)            :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B1F7E">
        <w:rPr>
          <w:rFonts w:ascii="Arial" w:hAnsi="Arial" w:cs="Arial"/>
          <w:b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Andrew Marvell: To His Coy Mistress</w:t>
      </w:r>
    </w:p>
    <w:p w14:paraId="44B80BCC" w14:textId="13E383C5" w:rsidR="0095547C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</w:t>
      </w:r>
      <w:r w:rsidR="004B1F7E">
        <w:rPr>
          <w:rFonts w:ascii="Arial" w:hAnsi="Arial" w:cs="Arial"/>
          <w:bCs/>
          <w:sz w:val="24"/>
          <w:szCs w:val="24"/>
        </w:rPr>
        <w:tab/>
        <w:t xml:space="preserve">  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C07DF2">
        <w:rPr>
          <w:rFonts w:ascii="Arial" w:hAnsi="Arial" w:cs="Arial"/>
          <w:bCs/>
          <w:sz w:val="24"/>
          <w:szCs w:val="24"/>
        </w:rPr>
        <w:t>John Bunyan: Upon the Disobedient Child</w:t>
      </w:r>
    </w:p>
    <w:p w14:paraId="6871EFA0" w14:textId="77777777" w:rsidR="00C07DF2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5ECC01D6" w:rsidR="0095547C" w:rsidRPr="0095547C" w:rsidRDefault="004B1F7E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C019E">
        <w:rPr>
          <w:rFonts w:ascii="Arial" w:hAnsi="Arial" w:cs="Arial"/>
          <w:b/>
          <w:sz w:val="24"/>
          <w:szCs w:val="24"/>
        </w:rPr>
        <w:t xml:space="preserve">      </w:t>
      </w:r>
      <w:r w:rsidRPr="0095547C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95547C">
        <w:rPr>
          <w:rFonts w:ascii="Arial" w:hAnsi="Arial" w:cs="Arial"/>
          <w:b/>
          <w:sz w:val="24"/>
          <w:szCs w:val="24"/>
        </w:rPr>
        <w:t>III</w:t>
      </w:r>
      <w:r>
        <w:rPr>
          <w:rFonts w:ascii="Arial" w:hAnsi="Arial" w:cs="Arial"/>
          <w:b/>
          <w:sz w:val="24"/>
          <w:szCs w:val="24"/>
        </w:rPr>
        <w:t>:</w:t>
      </w:r>
      <w:r w:rsidRPr="0095547C">
        <w:rPr>
          <w:rFonts w:ascii="Arial" w:hAnsi="Arial" w:cs="Arial"/>
          <w:b/>
          <w:sz w:val="24"/>
          <w:szCs w:val="24"/>
        </w:rPr>
        <w:t xml:space="preserve"> </w:t>
      </w:r>
    </w:p>
    <w:p w14:paraId="691ED9CB" w14:textId="3A9394EF" w:rsidR="00C07DF2" w:rsidRPr="00C07DF2" w:rsidRDefault="0095547C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Prose </w:t>
      </w:r>
      <w:r w:rsidR="00490BF2">
        <w:rPr>
          <w:rFonts w:ascii="Arial" w:hAnsi="Arial" w:cs="Arial"/>
          <w:bCs/>
          <w:sz w:val="24"/>
          <w:szCs w:val="24"/>
        </w:rPr>
        <w:t>(</w:t>
      </w:r>
      <w:r w:rsidR="00490BF2" w:rsidRPr="00490BF2">
        <w:rPr>
          <w:rFonts w:ascii="Arial" w:hAnsi="Arial" w:cs="Arial"/>
          <w:b/>
          <w:sz w:val="24"/>
          <w:szCs w:val="24"/>
        </w:rPr>
        <w:t>Non-Detailed)</w:t>
      </w:r>
      <w:r>
        <w:rPr>
          <w:rFonts w:ascii="Arial" w:hAnsi="Arial" w:cs="Arial"/>
          <w:bCs/>
          <w:sz w:val="24"/>
          <w:szCs w:val="24"/>
        </w:rPr>
        <w:t xml:space="preserve">                </w:t>
      </w:r>
      <w:r w:rsidR="004B1F7E" w:rsidRPr="004B1F7E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Joseph Addison:</w:t>
      </w:r>
      <w:r w:rsidR="005F468C">
        <w:rPr>
          <w:rFonts w:ascii="Arial" w:hAnsi="Arial" w:cs="Arial"/>
          <w:bCs/>
          <w:sz w:val="24"/>
          <w:szCs w:val="24"/>
        </w:rPr>
        <w:t xml:space="preserve"> Advice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 in Love</w:t>
      </w:r>
    </w:p>
    <w:p w14:paraId="292E109F" w14:textId="4AC561A0" w:rsidR="0095547C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</w:t>
      </w:r>
      <w:r w:rsidR="004B1F7E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Pr="00C07DF2">
        <w:rPr>
          <w:rFonts w:ascii="Arial" w:hAnsi="Arial" w:cs="Arial"/>
          <w:bCs/>
          <w:sz w:val="24"/>
          <w:szCs w:val="24"/>
        </w:rPr>
        <w:t>Richard Steele: The club at the Trumpet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45EEF732" w:rsidR="000B1143" w:rsidRPr="000B1143" w:rsidRDefault="004B1F7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1C019E">
        <w:rPr>
          <w:rFonts w:ascii="Arial" w:hAnsi="Arial" w:cs="Arial"/>
          <w:b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I</w:t>
      </w:r>
      <w:r>
        <w:rPr>
          <w:rFonts w:ascii="Arial" w:hAnsi="Arial" w:cs="Arial"/>
          <w:b/>
          <w:sz w:val="24"/>
          <w:szCs w:val="24"/>
        </w:rPr>
        <w:t>V:</w:t>
      </w:r>
    </w:p>
    <w:p w14:paraId="31A1BED4" w14:textId="0FBE9B02" w:rsidR="00C07DF2" w:rsidRDefault="00C07DF2" w:rsidP="004B1F7E">
      <w:pPr>
        <w:widowControl/>
        <w:autoSpaceDE/>
        <w:autoSpaceDN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Poetic </w:t>
      </w:r>
      <w:r w:rsidR="004B1F7E">
        <w:rPr>
          <w:rFonts w:ascii="Arial" w:hAnsi="Arial" w:cs="Arial"/>
          <w:b/>
          <w:sz w:val="24"/>
          <w:szCs w:val="24"/>
        </w:rPr>
        <w:t>Drama (Detailed Study)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John Dryden: Absalom and Achitophel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0D7C32E" w14:textId="7816A37A" w:rsidR="000B1143" w:rsidRPr="000B1143" w:rsidRDefault="00C07DF2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</w:t>
      </w:r>
      <w:r w:rsidR="004B1F7E">
        <w:rPr>
          <w:rFonts w:ascii="Arial" w:hAnsi="Arial" w:cs="Arial"/>
          <w:bCs/>
          <w:sz w:val="24"/>
          <w:szCs w:val="24"/>
        </w:rPr>
        <w:tab/>
        <w:t xml:space="preserve">   </w:t>
      </w:r>
      <w:r>
        <w:rPr>
          <w:rFonts w:ascii="Arial" w:hAnsi="Arial" w:cs="Arial"/>
          <w:bCs/>
          <w:sz w:val="24"/>
          <w:szCs w:val="24"/>
        </w:rPr>
        <w:t xml:space="preserve">   (Lines I to 500)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38A466EF" w:rsidR="000B1143" w:rsidRPr="000B1143" w:rsidRDefault="004B1F7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1C019E">
        <w:rPr>
          <w:rFonts w:ascii="Arial" w:hAnsi="Arial" w:cs="Arial"/>
          <w:b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V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490BF2">
        <w:rPr>
          <w:rFonts w:ascii="Arial" w:hAnsi="Arial" w:cs="Arial"/>
          <w:b/>
          <w:sz w:val="24"/>
          <w:szCs w:val="24"/>
        </w:rPr>
        <w:t>(Non-Detailed)</w:t>
      </w:r>
    </w:p>
    <w:p w14:paraId="713F5638" w14:textId="4F32C00E" w:rsidR="000B1143" w:rsidRDefault="004B1F7E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  <w:r w:rsidR="000B1143" w:rsidRPr="000B1143">
        <w:rPr>
          <w:rFonts w:ascii="Arial" w:hAnsi="Arial" w:cs="Arial"/>
          <w:b/>
          <w:sz w:val="24"/>
          <w:szCs w:val="24"/>
        </w:rPr>
        <w:t>Literary Criticism</w:t>
      </w:r>
      <w:r w:rsidR="005F468C">
        <w:rPr>
          <w:rFonts w:ascii="Arial" w:hAnsi="Arial" w:cs="Arial"/>
          <w:b/>
          <w:sz w:val="24"/>
          <w:szCs w:val="24"/>
        </w:rPr>
        <w:t xml:space="preserve">            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John Dryden: Essay of Dramatic </w:t>
      </w:r>
      <w:proofErr w:type="spellStart"/>
      <w:r w:rsidR="00C07DF2" w:rsidRPr="00C07DF2">
        <w:rPr>
          <w:rFonts w:ascii="Arial" w:hAnsi="Arial" w:cs="Arial"/>
          <w:bCs/>
          <w:sz w:val="24"/>
          <w:szCs w:val="24"/>
        </w:rPr>
        <w:t>Poesie</w:t>
      </w:r>
      <w:proofErr w:type="spellEnd"/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555B497" w14:textId="33B81942" w:rsidR="00C07DF2" w:rsidRPr="00C07DF2" w:rsidRDefault="001C019E" w:rsidP="004B1F7E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4B1F7E">
        <w:rPr>
          <w:rFonts w:ascii="Arial" w:hAnsi="Arial" w:cs="Arial"/>
          <w:bCs/>
          <w:sz w:val="24"/>
          <w:szCs w:val="24"/>
        </w:rPr>
        <w:t xml:space="preserve">  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4B1F7E" w:rsidRPr="00C07DF2">
        <w:rPr>
          <w:rFonts w:ascii="Arial" w:hAnsi="Arial" w:cs="Arial"/>
          <w:b/>
          <w:sz w:val="24"/>
          <w:szCs w:val="24"/>
        </w:rPr>
        <w:t>REFERENCE:</w:t>
      </w:r>
    </w:p>
    <w:p w14:paraId="63FDCAB0" w14:textId="55D41D22" w:rsidR="00C07DF2" w:rsidRPr="00C07DF2" w:rsidRDefault="004B1F7E" w:rsidP="004B1F7E">
      <w:pPr>
        <w:widowControl/>
        <w:autoSpaceDE/>
        <w:autoSpaceDN/>
        <w:spacing w:line="276" w:lineRule="auto"/>
        <w:ind w:left="1170" w:hanging="117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1C019E">
        <w:rPr>
          <w:rFonts w:ascii="Arial" w:hAnsi="Arial" w:cs="Arial"/>
          <w:bCs/>
          <w:sz w:val="24"/>
          <w:szCs w:val="24"/>
        </w:rPr>
        <w:t xml:space="preserve">        </w:t>
      </w:r>
      <w:r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="00C07DF2" w:rsidRPr="00C07DF2">
        <w:rPr>
          <w:rFonts w:ascii="Arial" w:hAnsi="Arial" w:cs="Arial"/>
          <w:bCs/>
          <w:sz w:val="24"/>
          <w:szCs w:val="24"/>
        </w:rPr>
        <w:t>Daiches</w:t>
      </w:r>
      <w:proofErr w:type="spellEnd"/>
      <w:r w:rsidR="00C07DF2" w:rsidRPr="00C07DF2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Grierson, H.J.C. 2014.A History of English </w:t>
      </w:r>
      <w:proofErr w:type="spellStart"/>
      <w:r w:rsidR="00C07DF2" w:rsidRPr="00C07DF2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="00C07DF2" w:rsidRPr="00C07DF2">
        <w:rPr>
          <w:rFonts w:ascii="Arial" w:hAnsi="Arial" w:cs="Arial"/>
          <w:bCs/>
          <w:sz w:val="24"/>
          <w:szCs w:val="24"/>
        </w:rPr>
        <w:t>.</w:t>
      </w:r>
    </w:p>
    <w:p w14:paraId="1A55A6DE" w14:textId="6918F3C1" w:rsidR="00C07DF2" w:rsidRPr="00C07DF2" w:rsidRDefault="004B1F7E" w:rsidP="001C019E">
      <w:pPr>
        <w:widowControl/>
        <w:autoSpaceDE/>
        <w:autoSpaceDN/>
        <w:spacing w:line="276" w:lineRule="auto"/>
        <w:ind w:left="1080" w:hanging="108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1C019E">
        <w:rPr>
          <w:rFonts w:ascii="Arial" w:hAnsi="Arial" w:cs="Arial"/>
          <w:bCs/>
          <w:sz w:val="24"/>
          <w:szCs w:val="24"/>
        </w:rPr>
        <w:t xml:space="preserve">       </w:t>
      </w:r>
      <w:proofErr w:type="spellStart"/>
      <w:r w:rsidR="00C07DF2" w:rsidRPr="00C07DF2">
        <w:rPr>
          <w:rFonts w:ascii="Arial" w:hAnsi="Arial" w:cs="Arial"/>
          <w:bCs/>
          <w:sz w:val="24"/>
          <w:szCs w:val="24"/>
        </w:rPr>
        <w:t>Daiches</w:t>
      </w:r>
      <w:proofErr w:type="spellEnd"/>
      <w:r w:rsidR="00C07DF2" w:rsidRPr="00C07DF2">
        <w:rPr>
          <w:rFonts w:ascii="Arial" w:hAnsi="Arial" w:cs="Arial"/>
          <w:bCs/>
          <w:sz w:val="24"/>
          <w:szCs w:val="24"/>
        </w:rPr>
        <w:t>, David. 2014 ed. History of English Literature</w:t>
      </w:r>
      <w:proofErr w:type="gramStart"/>
      <w:r w:rsidR="00C07DF2" w:rsidRPr="00C07DF2">
        <w:rPr>
          <w:rFonts w:ascii="Arial" w:hAnsi="Arial" w:cs="Arial"/>
          <w:bCs/>
          <w:sz w:val="24"/>
          <w:szCs w:val="24"/>
        </w:rPr>
        <w:t>.(</w:t>
      </w:r>
      <w:proofErr w:type="gramEnd"/>
      <w:r w:rsidR="00C07DF2" w:rsidRPr="00C07DF2">
        <w:rPr>
          <w:rFonts w:ascii="Arial" w:hAnsi="Arial" w:cs="Arial"/>
          <w:bCs/>
          <w:sz w:val="24"/>
          <w:szCs w:val="24"/>
        </w:rPr>
        <w:t xml:space="preserve">4 Volumes).CUP. Eagleton, Terry. </w:t>
      </w:r>
      <w:r w:rsidR="001C019E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2007. </w:t>
      </w:r>
      <w:r w:rsidR="001C019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How to Read a Poem. Oxford: Blackwell.</w:t>
      </w:r>
    </w:p>
    <w:p w14:paraId="62EF5FD3" w14:textId="13641E79" w:rsidR="00C07DF2" w:rsidRPr="00C07DF2" w:rsidRDefault="004B1F7E" w:rsidP="004B1F7E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1C019E">
        <w:rPr>
          <w:rFonts w:ascii="Arial" w:hAnsi="Arial" w:cs="Arial"/>
          <w:bCs/>
          <w:sz w:val="24"/>
          <w:szCs w:val="24"/>
        </w:rPr>
        <w:t xml:space="preserve">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14:paraId="4BC50068" w14:textId="5A48871D" w:rsidR="001E37B8" w:rsidRDefault="004B1F7E" w:rsidP="001C019E">
      <w:pPr>
        <w:widowControl/>
        <w:autoSpaceDE/>
        <w:autoSpaceDN/>
        <w:spacing w:line="276" w:lineRule="auto"/>
        <w:ind w:left="1440" w:hanging="14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1C019E">
        <w:rPr>
          <w:rFonts w:ascii="Arial" w:hAnsi="Arial" w:cs="Arial"/>
          <w:bCs/>
          <w:sz w:val="24"/>
          <w:szCs w:val="24"/>
        </w:rPr>
        <w:t xml:space="preserve">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Barry, Peter. 2010. Beginning Theory: An Introduction to Literary Theory and Cultural </w:t>
      </w:r>
      <w:r w:rsidR="001C019E">
        <w:rPr>
          <w:rFonts w:ascii="Arial" w:hAnsi="Arial" w:cs="Arial"/>
          <w:bCs/>
          <w:sz w:val="24"/>
          <w:szCs w:val="24"/>
        </w:rPr>
        <w:t xml:space="preserve">           </w:t>
      </w:r>
      <w:r w:rsidR="00C07DF2" w:rsidRPr="00C07DF2">
        <w:rPr>
          <w:rFonts w:ascii="Arial" w:hAnsi="Arial" w:cs="Arial"/>
          <w:bCs/>
          <w:sz w:val="24"/>
          <w:szCs w:val="24"/>
        </w:rPr>
        <w:t>Theory,</w:t>
      </w:r>
      <w:r w:rsidR="007834E6">
        <w:rPr>
          <w:rFonts w:ascii="Arial" w:hAnsi="Arial" w:cs="Arial"/>
          <w:bCs/>
          <w:sz w:val="24"/>
          <w:szCs w:val="24"/>
        </w:rPr>
        <w:t xml:space="preserve"> </w:t>
      </w:r>
      <w:r w:rsidR="001C019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0901153" w:rsidR="00C2367F" w:rsidRDefault="004B1F7E" w:rsidP="004B1F7E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1C019E">
        <w:rPr>
          <w:rFonts w:ascii="Arial" w:hAnsi="Arial" w:cs="Arial"/>
          <w:bCs/>
          <w:sz w:val="24"/>
          <w:szCs w:val="24"/>
        </w:rPr>
        <w:t xml:space="preserve">        </w:t>
      </w:r>
      <w:r w:rsidR="00C07DF2" w:rsidRPr="00C07DF2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 w:rsidR="00C07DF2">
        <w:rPr>
          <w:rFonts w:ascii="Arial" w:hAnsi="Arial" w:cs="Arial"/>
          <w:bCs/>
          <w:sz w:val="24"/>
          <w:szCs w:val="24"/>
        </w:rPr>
        <w:t xml:space="preserve">  </w:t>
      </w:r>
    </w:p>
    <w:p w14:paraId="37D0A92A" w14:textId="77777777" w:rsidR="004B1F7E" w:rsidRDefault="004B1F7E" w:rsidP="004B1F7E">
      <w:pPr>
        <w:widowControl/>
        <w:autoSpaceDE/>
        <w:autoSpaceDN/>
        <w:jc w:val="center"/>
        <w:rPr>
          <w:rFonts w:ascii="Arial" w:hAnsi="Arial" w:cs="Arial"/>
          <w:bCs/>
          <w:sz w:val="24"/>
          <w:szCs w:val="24"/>
        </w:rPr>
      </w:pPr>
    </w:p>
    <w:p w14:paraId="5AF671AB" w14:textId="367B8451" w:rsidR="004B1F7E" w:rsidRDefault="004B1F7E" w:rsidP="004B1F7E">
      <w:pPr>
        <w:widowControl/>
        <w:autoSpaceDE/>
        <w:autoSpaceDN/>
        <w:jc w:val="center"/>
      </w:pPr>
      <w:r>
        <w:rPr>
          <w:rFonts w:ascii="Arial" w:hAnsi="Arial" w:cs="Arial"/>
          <w:bCs/>
          <w:sz w:val="24"/>
          <w:szCs w:val="24"/>
        </w:rPr>
        <w:t>**          **          **</w:t>
      </w:r>
    </w:p>
    <w:sectPr w:rsidR="004B1F7E" w:rsidSect="004B1F7E">
      <w:pgSz w:w="11906" w:h="16838" w:code="9"/>
      <w:pgMar w:top="720" w:right="720" w:bottom="720" w:left="720" w:header="706" w:footer="118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01"/>
    <w:rsid w:val="00094A09"/>
    <w:rsid w:val="000B1143"/>
    <w:rsid w:val="000D4F0B"/>
    <w:rsid w:val="001C019E"/>
    <w:rsid w:val="001E37B8"/>
    <w:rsid w:val="00212FB8"/>
    <w:rsid w:val="002C7896"/>
    <w:rsid w:val="002D2ADD"/>
    <w:rsid w:val="002E4201"/>
    <w:rsid w:val="003309C6"/>
    <w:rsid w:val="0033623C"/>
    <w:rsid w:val="003E6E35"/>
    <w:rsid w:val="00490BF2"/>
    <w:rsid w:val="004B1F7E"/>
    <w:rsid w:val="004D19F9"/>
    <w:rsid w:val="005127E5"/>
    <w:rsid w:val="005A1998"/>
    <w:rsid w:val="005F468C"/>
    <w:rsid w:val="00632E08"/>
    <w:rsid w:val="00642A91"/>
    <w:rsid w:val="006A1B8E"/>
    <w:rsid w:val="006F4402"/>
    <w:rsid w:val="00752895"/>
    <w:rsid w:val="0076451E"/>
    <w:rsid w:val="007834E6"/>
    <w:rsid w:val="007B12F6"/>
    <w:rsid w:val="00821C2B"/>
    <w:rsid w:val="0083117E"/>
    <w:rsid w:val="00866049"/>
    <w:rsid w:val="008746EC"/>
    <w:rsid w:val="008874F9"/>
    <w:rsid w:val="008A5A21"/>
    <w:rsid w:val="008A615A"/>
    <w:rsid w:val="008B7735"/>
    <w:rsid w:val="00950A42"/>
    <w:rsid w:val="00950D03"/>
    <w:rsid w:val="0095209D"/>
    <w:rsid w:val="0095547C"/>
    <w:rsid w:val="009F40E4"/>
    <w:rsid w:val="00AC3B0F"/>
    <w:rsid w:val="00B37A36"/>
    <w:rsid w:val="00B90669"/>
    <w:rsid w:val="00C07DF2"/>
    <w:rsid w:val="00C22822"/>
    <w:rsid w:val="00C2367F"/>
    <w:rsid w:val="00D433D8"/>
    <w:rsid w:val="00DD7382"/>
    <w:rsid w:val="00DF576A"/>
    <w:rsid w:val="00E16FD5"/>
    <w:rsid w:val="00E95801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15</cp:revision>
  <dcterms:created xsi:type="dcterms:W3CDTF">2024-07-11T16:13:00Z</dcterms:created>
  <dcterms:modified xsi:type="dcterms:W3CDTF">2024-11-21T10:11:00Z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